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41BD" w:rsidRPr="000E6AAB" w:rsidRDefault="006341BD" w:rsidP="006341BD">
      <w:pPr>
        <w:rPr>
          <w:b/>
        </w:rPr>
      </w:pPr>
      <w:bookmarkStart w:id="0" w:name="_GoBack"/>
      <w:r w:rsidRPr="000E6AAB">
        <w:rPr>
          <w:b/>
        </w:rPr>
        <w:t>Контексти настајања Манифеста аутономизма</w:t>
      </w:r>
    </w:p>
    <w:bookmarkEnd w:id="0"/>
    <w:p w:rsidR="006341BD" w:rsidRPr="005A5705" w:rsidRDefault="006341BD" w:rsidP="006341BD"/>
    <w:p w:rsidR="006341BD" w:rsidRPr="005A5705" w:rsidRDefault="006341BD" w:rsidP="006341BD">
      <w:r w:rsidRPr="005A5705">
        <w:t>Фебруара и марта 1994, када је настајао „Манифест аутономизма”, заједни</w:t>
      </w:r>
      <w:r>
        <w:t>чк</w:t>
      </w:r>
      <w:r w:rsidRPr="005A5705">
        <w:t xml:space="preserve">а </w:t>
      </w:r>
      <w:r>
        <w:t>држава</w:t>
      </w:r>
      <w:r w:rsidRPr="005A5705">
        <w:t xml:space="preserve"> Србије и Црне Горе под називом Савезна Република Југославија успешно је спровела нови програм монетарне реконструкције, који ће локалну економију извести из најгоре инфлације икад забележене у овом региону, док је Вашингтонски споразум, који су потписале Хрватска, Хрватска Република Херцег-Босна и Република Босна и Херцеговина, почео да утире пут ка Дејтонском споразуму, потписаном 1995, који ће тек зауставити ратове и бити гарант мира на подручју бивше Југославије. У конкретним </w:t>
      </w:r>
      <w:r w:rsidRPr="00251F75">
        <w:t>бројевима</w:t>
      </w:r>
      <w:r w:rsidRPr="005A5705">
        <w:t xml:space="preserve">, инфлација за период од 21. децембра 1993. до 24. јануара 1994. „износила је преко </w:t>
      </w:r>
      <w:r w:rsidRPr="00121158">
        <w:t>7</w:t>
      </w:r>
      <w:r w:rsidRPr="00251F75">
        <w:t xml:space="preserve"> милијарди </w:t>
      </w:r>
      <w:r w:rsidRPr="00121158">
        <w:t>%</w:t>
      </w:r>
      <w:r w:rsidRPr="00251F75">
        <w:t>,</w:t>
      </w:r>
      <w:r w:rsidRPr="005A5705">
        <w:t xml:space="preserve"> да би укупни раст цена од 24. јануара до краја године у времену примене програма износио само 0,3%”. (Ђукић 2018, 75) Узрок за инфлацију била је ратна привреда, као и економске и друге санкције које је још 30. маја 1992. године Савет безбедности Уједињених нација Резолуцијом 757 увео тадашњој Савезној Републици Југославији, као одговор на мешање СРЈ у грађански рат у БиХ, који је почео 7. априла 1992. године, односно на неспровођење Резолуције број 752, којом се захтевало повлачење јединица ЈНА из Републике Босне и Херцеговине. Оне су укинуте тек Резолуцијом Савета безбедности Уједињених нација бр. 1074, од 1. октобра 1996.</w:t>
      </w:r>
    </w:p>
    <w:p w:rsidR="006341BD" w:rsidRPr="005A5705" w:rsidRDefault="006341BD" w:rsidP="006341BD"/>
    <w:p w:rsidR="006341BD" w:rsidRPr="005A5705" w:rsidRDefault="006341BD" w:rsidP="006341BD">
      <w:r w:rsidRPr="005A5705">
        <w:t xml:space="preserve">Многи међународно релевантни стручњаци писали су о утицају санкција на економску и политичку ситуацију у земљи, те су још 1993. године Војин Димитријевић и Јелена Пејић у прегледном чланку навели и став директора београдског Економског института Дарка Џунића да „ако је Запад намеравао да нас због политичког руководства казни уништењем привреде, санкције су успеле”, међутим „ако је њихов циљ омогућавање вишепартијске центристичке демократије, онда су контрапродуктивне” (Димитријевић и Пејић 1993, 509). Неки су чак сматрали и да су оне тек нека врста опомене пред могућу страну војну интервенцију, попут Живорада Ковачевића, који је још априла 1993. упозоравао да „може се много погрешити ако се уместо тврдог реализма и хладне процене ситуације вратимо некој од наших илузија типа: издржљиви смо ми и санкције нам не могу ништа” (Ковачевић 1993, 22). Па ипак, најупечатљивије сведочанство њиховог деловања на обичног човека, грађанина, али притом и сензибилног уметника, пружила је стрип-свеска Саше Ракезића, односно Александра Зографа, „Живот под санкцијама”, која је те, 1994. године, у издању Фантаграфикса </w:t>
      </w:r>
      <w:r>
        <w:t>(</w:t>
      </w:r>
      <w:r w:rsidRPr="005D7D13">
        <w:t>Fantagraphics</w:t>
      </w:r>
      <w:r>
        <w:t>)</w:t>
      </w:r>
      <w:r w:rsidRPr="005D7D13">
        <w:t xml:space="preserve"> </w:t>
      </w:r>
      <w:r w:rsidRPr="005A5705">
        <w:t xml:space="preserve">из Сијетла доспела до глобалне дистрибуције и била запажена на многим сајмовима стрипа. Репринтовани су у великом броју антологија, и ремиксовани у више издања посвећених његовом раду. Анализирајући и интерпретирајући једну од таквих целина, под називом „Поздрави из Србије” у издању </w:t>
      </w:r>
      <w:r>
        <w:t xml:space="preserve">издавачке куће </w:t>
      </w:r>
      <w:r w:rsidRPr="005D7D13">
        <w:t xml:space="preserve">Топ </w:t>
      </w:r>
      <w:r w:rsidRPr="00121158">
        <w:t>ш</w:t>
      </w:r>
      <w:r w:rsidRPr="005D7D13">
        <w:t xml:space="preserve">елф </w:t>
      </w:r>
      <w:r w:rsidRPr="00121158">
        <w:t>п</w:t>
      </w:r>
      <w:r w:rsidRPr="005D7D13">
        <w:t>родакшн</w:t>
      </w:r>
      <w:r w:rsidRPr="00121158">
        <w:t xml:space="preserve"> </w:t>
      </w:r>
      <w:r w:rsidRPr="005D7D13">
        <w:t>(Top Shelf Productions) из Мари</w:t>
      </w:r>
      <w:r w:rsidRPr="00121158">
        <w:t>ј</w:t>
      </w:r>
      <w:r w:rsidRPr="005D7D13">
        <w:t xml:space="preserve">ете, </w:t>
      </w:r>
      <w:r w:rsidRPr="00121158">
        <w:t xml:space="preserve">градића у </w:t>
      </w:r>
      <w:r w:rsidRPr="005D7D13">
        <w:t xml:space="preserve">Џорџији, Влад Бероња, професор на Тексаском универзитету у Остину, написао да та „комбинација надреалних визија и документарног извештавања која је остварена </w:t>
      </w:r>
      <w:r w:rsidRPr="00121158">
        <w:t>преко</w:t>
      </w:r>
      <w:r w:rsidRPr="005D7D13">
        <w:t>Зографовог графичког дневника</w:t>
      </w:r>
      <w:r w:rsidRPr="005A5705">
        <w:t xml:space="preserve"> рађеног у жанру андерграунд аутобиографског стрипа резултира контраархивом свакодневног живота у Србији деведесетих година, и касније”. То чини представљајући „колективне фантазије и унутрашњи живот политичке заједнице у доба катастрофичне историје” (Бероња 2020, 17). Притом као метаслику његовог рада узима каиш који „поставља на сцену чин цртања као политички чин” (Бероња 2020, 5).</w:t>
      </w:r>
    </w:p>
    <w:p w:rsidR="006341BD" w:rsidRPr="005A5705" w:rsidRDefault="006341BD" w:rsidP="006341BD"/>
    <w:p w:rsidR="006341BD" w:rsidRPr="005A5705" w:rsidRDefault="006341BD" w:rsidP="006341BD">
      <w:r w:rsidRPr="005A5705">
        <w:lastRenderedPageBreak/>
        <w:t>Урош Ђурић се у том стрипу појавио као лик из круга најближих Зографових пријатеља који је, личн</w:t>
      </w:r>
      <w:r>
        <w:t>ом</w:t>
      </w:r>
      <w:r w:rsidRPr="005A5705">
        <w:t xml:space="preserve"> прич</w:t>
      </w:r>
      <w:r>
        <w:t>ом</w:t>
      </w:r>
      <w:r w:rsidRPr="005A5705">
        <w:t xml:space="preserve"> коју је Зограф илустровао, тумачио искуство живота у Србији и Југославији тог времена. У неким каснијим моментима, Ђурић ће неке од тих табли техником присвајања призора уврстити и међу своје радове, као што је то радио са фотографијом акције коју изводе чланови Горгоне, или Којиним дизајном албума Дисциплине кичме, или негативом Дишанове фризуре у облику звезде. Тада, у доба писања манифеста, као и касније, у доба сарадње са Елке Кристуфек, у Ђурићевом раду су били присутни елементи аутографике, поступка који је Гили</w:t>
      </w:r>
      <w:r>
        <w:t>ј</w:t>
      </w:r>
      <w:r w:rsidRPr="005A5705">
        <w:t xml:space="preserve">ан Витлок именовао у свом тумачењу стрип-нарације, </w:t>
      </w:r>
      <w:r>
        <w:t>по</w:t>
      </w:r>
      <w:r w:rsidRPr="005A5705">
        <w:t xml:space="preserve">везујући га </w:t>
      </w:r>
      <w:r>
        <w:t>с</w:t>
      </w:r>
      <w:r w:rsidRPr="005A5705">
        <w:t>а аутор</w:t>
      </w:r>
      <w:r>
        <w:t>има</w:t>
      </w:r>
      <w:r w:rsidRPr="005A5705">
        <w:t xml:space="preserve"> који су сопствени лик користили као лик наратора приче која има аутобиографско утемељење (Whitlock 2006, 966). Стијн Вервет је потом анализ</w:t>
      </w:r>
      <w:r>
        <w:t>ом</w:t>
      </w:r>
      <w:r w:rsidRPr="005A5705">
        <w:t xml:space="preserve"> тог поступка тумачио радове Зографа и Томажа Лаврича који су тематизовали ратове у Југославији деведесетих, и потпомагао се притом и Хиршовом теоријом „визуелно-вербалне бинокуларности” (Vervaet 2011, 171). Она од нас тражи да „читамо и слике и речи, (откривајући) визуалност, а тиме и материјалност речи, и дискурзивност и наративност слика” (Hirsch 2004, 1213). Па, ипак, за разлику од аутора који су били у ужем фокусу Витлоковог истраживања, у Ђурићевом раду аутоисторизација иде уз неку дозу аутоиронизације. То су стратегије које, по Миленковићу, Урош</w:t>
      </w:r>
      <w:r>
        <w:t xml:space="preserve"> Ђурић</w:t>
      </w:r>
      <w:r w:rsidRPr="005A5705">
        <w:t xml:space="preserve"> „доследно примењује”, и то у (концептуалном) поступку „пројекције личности као посредника идеја”. (Миленковић 2013, 12)</w:t>
      </w:r>
    </w:p>
    <w:p w:rsidR="006341BD" w:rsidRPr="005A5705" w:rsidRDefault="006341BD" w:rsidP="006341BD">
      <w:r w:rsidRPr="005A5705">
        <w:t xml:space="preserve"> </w:t>
      </w:r>
    </w:p>
    <w:p w:rsidR="006341BD" w:rsidRPr="005A5705" w:rsidRDefault="006341BD" w:rsidP="006341BD">
      <w:r w:rsidRPr="005A5705">
        <w:t>Миленковић даље наводи, тумачећи позицију об</w:t>
      </w:r>
      <w:r>
        <w:t>ојице</w:t>
      </w:r>
      <w:r w:rsidRPr="005A5705">
        <w:t xml:space="preserve"> аутономиста – Уроша Ђурића и Стевана Маркуша, дефинисану Манифестом, да „уместо позиције уметника који зависи од контекста у који његову уметност смештају кустоси, галеристи и остали актери у (не/постојећем) арт-систему – аутономисти конструишу властити уметнички контекст)” (Миленковић 2013, 8). Имплицитни саговорник двојице аутономиста, чије су тезе ту доведене у питање, био је Јерко Денегри, историчар уметности и професор модерне уметности на </w:t>
      </w:r>
      <w:r>
        <w:t>К</w:t>
      </w:r>
      <w:r w:rsidRPr="005A5705">
        <w:t xml:space="preserve">атедри за </w:t>
      </w:r>
      <w:r>
        <w:t>и</w:t>
      </w:r>
      <w:r w:rsidRPr="005A5705">
        <w:t xml:space="preserve">сторију уметности на Филозофском факултету у Београду, односно његово тумачење Маркушевог дела у књизи </w:t>
      </w:r>
      <w:r w:rsidRPr="00121158">
        <w:rPr>
          <w:i/>
          <w:iCs/>
        </w:rPr>
        <w:t>Фрагменти: шездесете – деведесете: уметници из Војводине</w:t>
      </w:r>
      <w:r>
        <w:t>,</w:t>
      </w:r>
      <w:r w:rsidRPr="005A5705">
        <w:t xml:space="preserve"> које су сматрали веома стручним, али превише шематским. Додатну потврду за постављање ограда спрам тада актуелних критичарских и историјско-уметничких дискурса донео им је свега </w:t>
      </w:r>
      <w:r>
        <w:t>неколико</w:t>
      </w:r>
      <w:r w:rsidRPr="005A5705">
        <w:t xml:space="preserve"> месеци касније</w:t>
      </w:r>
      <w:r w:rsidRPr="005A5705" w:rsidDel="008D6B96">
        <w:t xml:space="preserve"> </w:t>
      </w:r>
      <w:r w:rsidRPr="005A5705">
        <w:t>организован симпозијум</w:t>
      </w:r>
      <w:r>
        <w:t>,</w:t>
      </w:r>
      <w:r w:rsidRPr="005A5705">
        <w:t xml:space="preserve"> у оквиру Првог бијенала младих у Вршцу (кој</w:t>
      </w:r>
      <w:r>
        <w:t>и</w:t>
      </w:r>
      <w:r w:rsidRPr="005A5705">
        <w:t xml:space="preserve"> је настао као потреба надомештања Бијенала младих у Ријеци, кој</w:t>
      </w:r>
      <w:r>
        <w:t>и</w:t>
      </w:r>
      <w:r w:rsidRPr="005A5705">
        <w:t xml:space="preserve"> је због рата прекинуо са радом). Расправа</w:t>
      </w:r>
      <w:r>
        <w:t>,</w:t>
      </w:r>
      <w:r w:rsidRPr="005A5705">
        <w:t xml:space="preserve"> за крилатиц</w:t>
      </w:r>
      <w:r>
        <w:t>у</w:t>
      </w:r>
      <w:r w:rsidRPr="005A5705">
        <w:t xml:space="preserve"> </w:t>
      </w:r>
      <w:r>
        <w:t>„</w:t>
      </w:r>
      <w:r w:rsidRPr="005A5705">
        <w:t>Модернизам после постмодерне</w:t>
      </w:r>
      <w:r>
        <w:t>“ –</w:t>
      </w:r>
      <w:r w:rsidRPr="005A5705">
        <w:t xml:space="preserve"> која је чинила тежиште </w:t>
      </w:r>
      <w:r w:rsidRPr="008D6B96">
        <w:t>тог симпозијума –</w:t>
      </w:r>
      <w:r w:rsidRPr="00590BFD">
        <w:t xml:space="preserve"> </w:t>
      </w:r>
      <w:r w:rsidRPr="005A5705">
        <w:t>и против</w:t>
      </w:r>
      <w:r>
        <w:t xml:space="preserve"> ње</w:t>
      </w:r>
      <w:r w:rsidRPr="005A5705">
        <w:t xml:space="preserve">, аутономистима није значила ама баш ништа, то јест деловала је као колосек којим се мимоилази то што они раде, о чему мисле и чему теже. Додуше, и Лидија Мереник је </w:t>
      </w:r>
      <w:r w:rsidRPr="00024778">
        <w:t xml:space="preserve">на </w:t>
      </w:r>
      <w:r w:rsidRPr="00121158">
        <w:t>симпозијуму</w:t>
      </w:r>
      <w:r w:rsidRPr="00024778">
        <w:t xml:space="preserve"> </w:t>
      </w:r>
      <w:r w:rsidRPr="005A5705">
        <w:t xml:space="preserve">веома јасно изнела, поред осталог, и тврдњу да „хетерогеношћу својих приступа и језика, субјективношћу свог избора, различитошћу и сложеношћу својих кодова, савремена уметност готово да и нема додирних тачака са тезом о постојању </w:t>
      </w:r>
      <w:r>
        <w:t>м</w:t>
      </w:r>
      <w:r w:rsidRPr="005A5705">
        <w:t>одерне после постмодернизма” (Мереник 1994, 65), а Дејан Сретеновић је своје излагање завршио тезом да „критика мора, угледавши се на саму уметност, рећи лаку ноћ и модерни и постмодерни” (Сретеновић 1994, 67), али нису понудили дискурзивну платформу која би уметницима који су тада правили прве кораке на професионалној сцени пружила одговарајући ослонац за праксу. То ће учинити тек касније разрадом концепта „активног ескапизма” (Мереник 1996, н.</w:t>
      </w:r>
      <w:r>
        <w:rPr>
          <w:lang w:val="sr-Latn-RS"/>
        </w:rPr>
        <w:t xml:space="preserve"> </w:t>
      </w:r>
      <w:r w:rsidRPr="005A5705">
        <w:t xml:space="preserve">п.), и „уметности у затвореном друштву” (Сретеновић 1996, н. п.), који ће бити разрађивани на годишњим изложбама Сорош </w:t>
      </w:r>
      <w:r>
        <w:t>ц</w:t>
      </w:r>
      <w:r w:rsidRPr="005A5705">
        <w:t>ентра за савремену уметност Београд, и на изложби „О нормалности” у МСУБ 2005. године.</w:t>
      </w:r>
    </w:p>
    <w:p w:rsidR="006341BD" w:rsidRPr="005A5705" w:rsidRDefault="006341BD" w:rsidP="006341BD"/>
    <w:p w:rsidR="006341BD" w:rsidRPr="005A5705" w:rsidRDefault="006341BD" w:rsidP="006341BD">
      <w:r w:rsidRPr="005A5705">
        <w:lastRenderedPageBreak/>
        <w:t xml:space="preserve">У тексту у недељнику </w:t>
      </w:r>
      <w:r w:rsidRPr="00121158">
        <w:rPr>
          <w:i/>
          <w:iCs/>
        </w:rPr>
        <w:t>Време</w:t>
      </w:r>
      <w:r w:rsidRPr="005A5705">
        <w:t xml:space="preserve">, две године </w:t>
      </w:r>
      <w:r>
        <w:t>после</w:t>
      </w:r>
      <w:r>
        <w:rPr>
          <w:lang w:val="ru-RU"/>
        </w:rPr>
        <w:t xml:space="preserve"> Првог бијенала младих у Вршцу</w:t>
      </w:r>
      <w:r>
        <w:t xml:space="preserve"> и симпозијума уприличеног тим поводом</w:t>
      </w:r>
      <w:r w:rsidRPr="005A5705">
        <w:t xml:space="preserve">, Јован Деспотовић прецизно је сажео генеалогију тезе око које је критичарски сукоб био настао. Дакле, њу је први изнео Томаж Брејц, и то у тексту под истим насловом („Модернизам после постмодерне?”), објављеном у београдском часопису </w:t>
      </w:r>
      <w:r w:rsidRPr="00121158">
        <w:rPr>
          <w:i/>
          <w:iCs/>
        </w:rPr>
        <w:t>Момент</w:t>
      </w:r>
      <w:r w:rsidRPr="005A5705">
        <w:t xml:space="preserve">, број 11/12, 1988. године. Потом ју је Јерко Денегри преузео, али без знака питања, дакле не као сугестију, већ као тврдњу, и предложио као назив нове парадигме савремене уметности у Србији, и то у тексту у предговору каталога </w:t>
      </w:r>
      <w:r>
        <w:t>П</w:t>
      </w:r>
      <w:r w:rsidRPr="005A5705">
        <w:t>рвог бијенала младих у Вршцу 1994, у коме наглашава „приоритет форме у уметности деведесетих”. То је у потпуности поларизовало говорнике, те су се са стране критичара те тезе нашли Лидија Мереник, Дејан Сретеновић, Марина Мартић, и други, а бранилаца Мишко Шуваковић, Сава Степанов и Јерко Денегри (Деспотовић 1996, 48). Након тога, године у којој је Деспотовић писао тај сажетак расправе, Сава Степанов је у каталогу Другог бијенала младих у Вршцу наставио са пропагирањем Денегријеве тезе, тврдећи да током деведесетих сплашњава „субјективизам као и интерес за садржај и иконографску представу”, да „субјективистичке ставове замењује рационалистички однос према свету и уметности”, и да се „јављају аиконичке творевин</w:t>
      </w:r>
      <w:r>
        <w:t>е</w:t>
      </w:r>
      <w:r w:rsidRPr="005A5705">
        <w:t xml:space="preserve"> у сликарству и скулптури, најчешће геометријског и конструктивистичког карактера” (Степанов 1996, 7). Корекцију његових теза у случају Уроша Ђурића, који ће на том бијеналу понети и једну од награда, истиче три од четири кустоса Бијенала. Јадранка Толић о Ђурићевом раду пише да „стављањем класичног мотива аутопортрета у пејсажно окружење и у везу са другим приказаним личностима (портретима), стварним или фиктивним, концептуалном прерадом најразличитијих елемената и мотива из класичне, као и уметности историјских авангарди, Ђурић пред посматрачем отвара компликован свет осећаја и личног искуства уметности у који и себе укључује” (Толић 1996, 14). Стеван Вуковић, између осталог пише да Ђурићев рад „показује изграђену концептуалну схему, стратегију употребе традиције, њеног приватизовања, монументализовања личних искустава и легитимације личних митова кроз историјски понуђене форме и схемате”. (Вуковић 1996, 20) Зоран Ерић пише да „Ђурић у контекст пројекције личних фасцинација и митова уводи и деконструише Маљевичев супрематизам, чиме слика постаје поље преплитања и укрштања дијахронијских и синхронијских токова уметности, репера историјске авангарде и ликова из стрипа и света популарне културе”. (Ерић 1996, 28)</w:t>
      </w:r>
    </w:p>
    <w:p w:rsidR="006341BD" w:rsidRPr="005A5705" w:rsidRDefault="006341BD" w:rsidP="006341BD"/>
    <w:p w:rsidR="006341BD" w:rsidRPr="005A5705" w:rsidRDefault="006341BD" w:rsidP="006341BD">
      <w:r w:rsidRPr="005A5705">
        <w:t xml:space="preserve">Сава Степанов је у свом тексту, позивајући се на Филибрета Мену, позивао на „право уметности на сопствену аутономију, и то не да би се изоловала, него да би понудила властити модел другим знањима и праксама” (Степанов 1996, 7) и чак навео да је на тој изложби (1996) највећи број излагача „посвећен проблемима уметности и њене аутономности” (исто, 8) Парадокс истовремене употребе тезе о аутономији уметности код Степанова, Денегрија и Шуваковића, као и Ђурића и Маркуша, нагласили су Димитријевић и Анђелковић у каталогу изложбе </w:t>
      </w:r>
      <w:r w:rsidRPr="005A5705">
        <w:rPr>
          <w:i/>
        </w:rPr>
        <w:t>О нормалности</w:t>
      </w:r>
      <w:r w:rsidRPr="005A5705">
        <w:t>. Ту су писали следеће: „Ђурићево сликарство, као и уметност других протагониста београдског урбаног (’андерграунд’) миљеа било је почетком деведесетих једина реална алтернатива доминацији формализма, чистоће, не-експресионизма, фаворисаног од стране најутицајнијих критичара”, те је, стога, „занимљиво и готово парадоксално да се термин ’аутономије’ који је увек био у подтексту деловања формалистичке или нео-модернистичке струје, недвосмислено појављује управо посредовањем Уроша Ђурића” (Анђелковић и Димитријевић 2005, 72). Да би се тај парадокс на неки начин разрешио, или макар његов узрок расветлио, потребно је увести један од теоријских потпорних стубова тезе о „</w:t>
      </w:r>
      <w:r>
        <w:t>м</w:t>
      </w:r>
      <w:r w:rsidRPr="005A5705">
        <w:t xml:space="preserve">одерни после постмодерне”, а то је теорија Клемента Гринберга, у којој, у верзији у којој </w:t>
      </w:r>
      <w:r>
        <w:t xml:space="preserve">ју </w:t>
      </w:r>
      <w:r w:rsidRPr="005A5705">
        <w:t xml:space="preserve">је Денегри интерпретирао, „нема битније разлике између модернистичког идеала аутономије уметности </w:t>
      </w:r>
      <w:r w:rsidRPr="005A5705">
        <w:lastRenderedPageBreak/>
        <w:t>и авангардистичког идеала њене социјалне функције”, те ни међусобне „искључивости појава и појмова модернизам-авангарда”</w:t>
      </w:r>
      <w:r>
        <w:t>.</w:t>
      </w:r>
      <w:r w:rsidRPr="005A5705">
        <w:t xml:space="preserve"> (Денегри 2001, 76) Урош Ђурић и Стеван Маркуш се у свом виђењу аутономије окрећу авангарди, оличеној у </w:t>
      </w:r>
      <w:r w:rsidRPr="00121158">
        <w:rPr>
          <w:i/>
          <w:iCs/>
        </w:rPr>
        <w:t>Зениту</w:t>
      </w:r>
      <w:r w:rsidRPr="005A5705">
        <w:t xml:space="preserve"> и Маљевичу, па и бирају форму манифеста да би огласили своје ставове управо у супротстављању модернистичкој аутономији.</w:t>
      </w:r>
    </w:p>
    <w:p w:rsidR="006341BD" w:rsidRPr="005A5705" w:rsidRDefault="006341BD" w:rsidP="006341BD"/>
    <w:p w:rsidR="006341BD" w:rsidRPr="005A5705" w:rsidRDefault="006341BD" w:rsidP="006341BD">
      <w:r w:rsidRPr="005A5705">
        <w:t>„Пишем манифест и не желим ништа, а ипак говорим нешто, иако сам у принципу против манифеста, као што сам, уосталом, и против принципа”, (Цара 2014</w:t>
      </w:r>
      <w:r>
        <w:t>-</w:t>
      </w:r>
      <w:r w:rsidRPr="005A5705">
        <w:t xml:space="preserve">2015, 17–18) писао је Тристан Цара у манифесту који је објављен појединачно 1918, као манифест Даде, а потом био уврштен и у књигу манифеста, што је у то време било још прилично неуобичајено, јер су они писани за извођење, објављивање у високотиражној штампи, и дељење у виду летака. Овај Царин манифест, као и манифест </w:t>
      </w:r>
      <w:r>
        <w:t>з</w:t>
      </w:r>
      <w:r w:rsidRPr="005A5705">
        <w:t xml:space="preserve">енитизма, па и аутономизма, нису пројектно усмерени. Они су, како је то Мерџори Перлоф тврдила, тип текстуалне форме, која у дискурзивно поље уноси специфичан „вид агонизма, глас оних који су против” (Perloff, 1986, 82), те су, стога, захвални да буду искоришћени да се формулише „акт одбијања постојећих интерпретација његовог (Ђурићевог, па и Маркушевог) рада, посебно оних који га гледају искључиво у склопу ’урбане иконографије’ или повратка ’фигурацији’” (Анђелковић и Димитријевић 2005, 72). Насупрот таквом свођењу на уобичајено, већ усвојено и канонизовано, Урош Ђурић је у тексту Данијеле Пурешевић за каталог „Поглед на зид” 1996, изјавио следеће: „нико није схватио поенту мог сликарства. Ја користим фигурацију као што је Дишан користио редимејд. Фигурацијом се служим двозначно. И нисам </w:t>
      </w:r>
      <w:r w:rsidRPr="00F72872">
        <w:t>фигуративан</w:t>
      </w:r>
      <w:r w:rsidRPr="005A5705">
        <w:t xml:space="preserve"> сликар. Ја сам чисти концептуалиста”. (Пурешевић 1996, 24)</w:t>
      </w:r>
    </w:p>
    <w:p w:rsidR="006341BD" w:rsidRPr="005A5705" w:rsidRDefault="006341BD" w:rsidP="006341BD"/>
    <w:p w:rsidR="006341BD" w:rsidRPr="005A5705" w:rsidRDefault="006341BD" w:rsidP="006341BD">
      <w:pPr>
        <w:jc w:val="right"/>
      </w:pPr>
      <w:r w:rsidRPr="005A5705">
        <w:t>Стеван Вуковић</w:t>
      </w:r>
    </w:p>
    <w:p w:rsidR="006341BD" w:rsidRPr="005A5705" w:rsidRDefault="006341BD" w:rsidP="006341BD"/>
    <w:p w:rsidR="006341BD" w:rsidRPr="005A5705" w:rsidRDefault="006341BD" w:rsidP="006341BD">
      <w:r w:rsidRPr="005A5705">
        <w:t>Коришћена литература:</w:t>
      </w:r>
    </w:p>
    <w:p w:rsidR="006341BD" w:rsidRPr="005A5705" w:rsidRDefault="006341BD" w:rsidP="006341BD">
      <w:pPr>
        <w:numPr>
          <w:ilvl w:val="0"/>
          <w:numId w:val="1"/>
        </w:numPr>
        <w:spacing w:after="0" w:line="276" w:lineRule="auto"/>
      </w:pPr>
      <w:r w:rsidRPr="005A5705">
        <w:t xml:space="preserve">Anđelković, B. </w:t>
      </w:r>
      <w:r>
        <w:t xml:space="preserve">и </w:t>
      </w:r>
      <w:r w:rsidRPr="005A5705">
        <w:t xml:space="preserve">Dimitrijević. B. 2005. „Poslednja decenija: Umetnost, društvo, trauma i normalnost". </w:t>
      </w:r>
      <w:r>
        <w:t>У</w:t>
      </w:r>
      <w:r w:rsidRPr="005A5705">
        <w:t xml:space="preserve"> Anđelković et </w:t>
      </w:r>
      <w:r>
        <w:rPr>
          <w:lang w:val="sr-Latn-RS"/>
        </w:rPr>
        <w:t>al</w:t>
      </w:r>
      <w:r w:rsidRPr="005A5705">
        <w:t xml:space="preserve">. 2005. O normalnosti. Umetnost u Srbiji 1989–2001. Beograd: Muzej savremene umetnosti, 9–130. </w:t>
      </w:r>
    </w:p>
    <w:p w:rsidR="006341BD" w:rsidRPr="005A5705" w:rsidRDefault="006341BD" w:rsidP="006341BD">
      <w:pPr>
        <w:numPr>
          <w:ilvl w:val="0"/>
          <w:numId w:val="1"/>
        </w:numPr>
        <w:spacing w:after="0" w:line="276" w:lineRule="auto"/>
      </w:pPr>
      <w:r w:rsidRPr="005A5705">
        <w:t>Beronja, V. 2020. Twilight zones of history: Aleksandar Zograf’s Regards from Serbia and the Serbian alternative comics of the 1990s, Journal of Graphic Novels and Comics, 1–19.</w:t>
      </w:r>
    </w:p>
    <w:p w:rsidR="006341BD" w:rsidRPr="005A5705" w:rsidRDefault="006341BD" w:rsidP="006341BD">
      <w:pPr>
        <w:numPr>
          <w:ilvl w:val="0"/>
          <w:numId w:val="1"/>
        </w:numPr>
        <w:spacing w:after="0" w:line="276" w:lineRule="auto"/>
      </w:pPr>
      <w:r w:rsidRPr="005A5705">
        <w:t xml:space="preserve">Cara, T. (2014–2015.) „Manifest dade 1918”. </w:t>
      </w:r>
      <w:r>
        <w:t>У</w:t>
      </w:r>
      <w:r w:rsidRPr="005A5705">
        <w:t xml:space="preserve"> Tristan Tzara: Devičanski mikrob. Sedam manifesta dade i drugi tekstovi o dadi, Beograd: Anarhija / Blok 45, 17–28.</w:t>
      </w:r>
    </w:p>
    <w:p w:rsidR="006341BD" w:rsidRPr="005A5705" w:rsidRDefault="006341BD" w:rsidP="006341BD">
      <w:pPr>
        <w:numPr>
          <w:ilvl w:val="0"/>
          <w:numId w:val="1"/>
        </w:numPr>
        <w:spacing w:after="0" w:line="276" w:lineRule="auto"/>
      </w:pPr>
      <w:r w:rsidRPr="005A5705">
        <w:t xml:space="preserve">Denegri, J. 2001. „Clement Greenberg i kritika kontinuiteta američkog apstraktnog ekspresionizma i postslikarske apstrakcije”. </w:t>
      </w:r>
      <w:r>
        <w:t>У</w:t>
      </w:r>
      <w:r w:rsidRPr="005A5705">
        <w:t xml:space="preserve"> Ugren, D. (ur.) 2001. „Hijatusi modernizma i postmodernizma. Jedna teorijska kontrоverza”, Novi Sad: Projekat 11–15, 76–78.</w:t>
      </w:r>
    </w:p>
    <w:p w:rsidR="006341BD" w:rsidRPr="005A5705" w:rsidRDefault="006341BD" w:rsidP="006341BD">
      <w:pPr>
        <w:numPr>
          <w:ilvl w:val="0"/>
          <w:numId w:val="1"/>
        </w:numPr>
        <w:spacing w:after="0" w:line="276" w:lineRule="auto"/>
      </w:pPr>
      <w:r w:rsidRPr="005A5705">
        <w:t xml:space="preserve">Despotović, J. 1996. „Trijumf novog”, </w:t>
      </w:r>
      <w:r w:rsidRPr="00121158">
        <w:rPr>
          <w:i/>
          <w:iCs/>
        </w:rPr>
        <w:t>Vreme</w:t>
      </w:r>
      <w:r w:rsidRPr="005A5705">
        <w:t>, Beograd, 24. VIII 1996, str. 48</w:t>
      </w:r>
    </w:p>
    <w:p w:rsidR="006341BD" w:rsidRPr="005A5705" w:rsidRDefault="006341BD" w:rsidP="006341BD">
      <w:pPr>
        <w:numPr>
          <w:ilvl w:val="0"/>
          <w:numId w:val="1"/>
        </w:numPr>
        <w:spacing w:after="0" w:line="276" w:lineRule="auto"/>
      </w:pPr>
      <w:r w:rsidRPr="005A5705">
        <w:t xml:space="preserve">Dimitrijević, V. </w:t>
      </w:r>
      <w:r>
        <w:t>и</w:t>
      </w:r>
      <w:r w:rsidRPr="005A5705">
        <w:t xml:space="preserve"> Pejić, J. 1993. Efikasnost sankcija Ujedinjenih nacija protiv Jugoslavije, Anali Pravnog fakulteta u Beogradu, godina XLI, br. 5, septembar–oktobar 1993, 485–620. </w:t>
      </w:r>
    </w:p>
    <w:p w:rsidR="006341BD" w:rsidRPr="005A5705" w:rsidRDefault="006341BD" w:rsidP="006341BD">
      <w:pPr>
        <w:numPr>
          <w:ilvl w:val="0"/>
          <w:numId w:val="1"/>
        </w:numPr>
        <w:spacing w:after="0" w:line="276" w:lineRule="auto"/>
      </w:pPr>
      <w:r w:rsidRPr="005A5705">
        <w:t xml:space="preserve">Đukić, P. 2018. „Ekonomska politika, sankcije i hiperinflacija: Pouke iz haosa”, </w:t>
      </w:r>
      <w:r>
        <w:t>у</w:t>
      </w:r>
      <w:r w:rsidRPr="005A5705">
        <w:t xml:space="preserve"> Đukić, Đ </w:t>
      </w:r>
      <w:r>
        <w:t>и</w:t>
      </w:r>
      <w:r w:rsidRPr="005A5705">
        <w:t xml:space="preserve"> Živković, A. (ur.) 2018. Prilozi za privrednu istoriju Jugoslavije i Srbije: hiperinflacija i posthiperinflacija. Beograd: Centar za izdavačku delatnost Ekonomskog fakulteta u Beogradu, 99–87.</w:t>
      </w:r>
    </w:p>
    <w:p w:rsidR="006341BD" w:rsidRPr="005A5705" w:rsidRDefault="006341BD" w:rsidP="006341BD">
      <w:pPr>
        <w:numPr>
          <w:ilvl w:val="0"/>
          <w:numId w:val="1"/>
        </w:numPr>
        <w:spacing w:after="0" w:line="276" w:lineRule="auto"/>
      </w:pPr>
      <w:r w:rsidRPr="005A5705">
        <w:lastRenderedPageBreak/>
        <w:t xml:space="preserve">Đurić, U. i Markuš, S. 2005. „Manifest </w:t>
      </w:r>
      <w:r>
        <w:t>а</w:t>
      </w:r>
      <w:r w:rsidRPr="005A5705">
        <w:t>utonomizma”, Pančevo: Savremena galerija Centra za kulturu „Olga Petrov”.</w:t>
      </w:r>
    </w:p>
    <w:p w:rsidR="006341BD" w:rsidRPr="005A5705" w:rsidRDefault="006341BD" w:rsidP="006341BD">
      <w:pPr>
        <w:numPr>
          <w:ilvl w:val="0"/>
          <w:numId w:val="1"/>
        </w:numPr>
        <w:spacing w:after="0" w:line="276" w:lineRule="auto"/>
      </w:pPr>
      <w:r w:rsidRPr="005A5705">
        <w:t xml:space="preserve">Erić, Z. 1996. „Mogućnost pomaka od formalnog nivoa rada?”. </w:t>
      </w:r>
      <w:r>
        <w:t>У</w:t>
      </w:r>
      <w:r w:rsidRPr="005A5705">
        <w:t xml:space="preserve"> Sretenovć, D. (</w:t>
      </w:r>
      <w:r>
        <w:t>ур</w:t>
      </w:r>
      <w:r w:rsidRPr="005A5705">
        <w:t>.) 1996. II Jugoslovenski likovni bijenale mladih, katalog izložbe. Vršac: Umetnička radionica „Aurora”, i Narodni muzej, Vršac, 23–28.</w:t>
      </w:r>
    </w:p>
    <w:p w:rsidR="006341BD" w:rsidRPr="005A5705" w:rsidRDefault="006341BD" w:rsidP="006341BD">
      <w:pPr>
        <w:numPr>
          <w:ilvl w:val="0"/>
          <w:numId w:val="1"/>
        </w:numPr>
        <w:spacing w:after="0" w:line="276" w:lineRule="auto"/>
      </w:pPr>
      <w:r w:rsidRPr="005A5705">
        <w:t>Hirsch, M. ”Editor's Column: Collateral Damage”, PMLA 119.5 (2004), 1209–1215.</w:t>
      </w:r>
    </w:p>
    <w:p w:rsidR="006341BD" w:rsidRPr="005A5705" w:rsidRDefault="006341BD" w:rsidP="006341BD">
      <w:pPr>
        <w:numPr>
          <w:ilvl w:val="0"/>
          <w:numId w:val="1"/>
        </w:numPr>
        <w:spacing w:after="0" w:line="276" w:lineRule="auto"/>
      </w:pPr>
      <w:r w:rsidRPr="005A5705">
        <w:t xml:space="preserve">Kovačević, Ž. 1993. „Mir nije bez šansi”, Republika br. 66, godina peta, 15–30. april 1993, </w:t>
      </w:r>
      <w:r w:rsidRPr="00F72872">
        <w:t>преузето из</w:t>
      </w:r>
      <w:r w:rsidRPr="005A5705">
        <w:t xml:space="preserve">: Kovačević, Ž, Srbija i svet: Između arogancije i poniznosti. 2004. Beograd: Helsinški odbor za ljudska prava u Srbiji, 21–23. </w:t>
      </w:r>
    </w:p>
    <w:p w:rsidR="006341BD" w:rsidRPr="005A5705" w:rsidRDefault="006341BD" w:rsidP="006341BD">
      <w:pPr>
        <w:numPr>
          <w:ilvl w:val="0"/>
          <w:numId w:val="1"/>
        </w:numPr>
        <w:spacing w:after="0" w:line="276" w:lineRule="auto"/>
      </w:pPr>
      <w:r w:rsidRPr="005A5705">
        <w:t>Merenik, L. 1994. Nenaslovljen tekst. Zlatno oko br. 1, Novi Sad–Vršac, septembar 1994, str. 65.</w:t>
      </w:r>
    </w:p>
    <w:p w:rsidR="006341BD" w:rsidRPr="005A5705" w:rsidRDefault="006341BD" w:rsidP="006341BD">
      <w:pPr>
        <w:numPr>
          <w:ilvl w:val="0"/>
          <w:numId w:val="1"/>
        </w:numPr>
        <w:spacing w:after="0" w:line="276" w:lineRule="auto"/>
      </w:pPr>
      <w:r w:rsidRPr="005A5705">
        <w:t xml:space="preserve">Merenik, L, ”No wave 1992–1995”. 1996. </w:t>
      </w:r>
      <w:r>
        <w:t>У</w:t>
      </w:r>
      <w:r w:rsidRPr="005A5705">
        <w:t>: Sretenović, D. (</w:t>
      </w:r>
      <w:r>
        <w:t>ур</w:t>
      </w:r>
      <w:r w:rsidRPr="005A5705">
        <w:t xml:space="preserve">.) Art in Yugoslavia 1992–1995, Radio B92, Beograd 1996, </w:t>
      </w:r>
      <w:r w:rsidRPr="00F72872">
        <w:t>без пагинације</w:t>
      </w:r>
      <w:r w:rsidRPr="005A5705">
        <w:t>.</w:t>
      </w:r>
    </w:p>
    <w:p w:rsidR="006341BD" w:rsidRPr="005A5705" w:rsidRDefault="006341BD" w:rsidP="006341BD">
      <w:pPr>
        <w:numPr>
          <w:ilvl w:val="0"/>
          <w:numId w:val="1"/>
        </w:numPr>
        <w:spacing w:after="0" w:line="276" w:lineRule="auto"/>
      </w:pPr>
      <w:r w:rsidRPr="005A5705">
        <w:t xml:space="preserve">Milenković, N. 2013. </w:t>
      </w:r>
      <w:r w:rsidRPr="005A5705">
        <w:rPr>
          <w:i/>
        </w:rPr>
        <w:t>Strategije ekscesa ili ko se žuri uleti mu Đurić</w:t>
      </w:r>
      <w:r w:rsidRPr="005A5705">
        <w:t>. Novi Sad: Muzej savremene umetnosti Vojvodine.</w:t>
      </w:r>
    </w:p>
    <w:p w:rsidR="006341BD" w:rsidRPr="005A5705" w:rsidRDefault="006341BD" w:rsidP="006341BD">
      <w:pPr>
        <w:numPr>
          <w:ilvl w:val="0"/>
          <w:numId w:val="1"/>
        </w:numPr>
        <w:spacing w:after="0" w:line="276" w:lineRule="auto"/>
      </w:pPr>
      <w:r w:rsidRPr="005A5705">
        <w:t xml:space="preserve">Perloff, M. 1986. </w:t>
      </w:r>
      <w:r w:rsidRPr="005A5705">
        <w:rPr>
          <w:i/>
        </w:rPr>
        <w:t>The Futurist Moment: Avant-Garde, Avant Guerre, and the Language of Rupture.</w:t>
      </w:r>
      <w:r w:rsidRPr="005A5705">
        <w:t xml:space="preserve"> Chicago, IL: University of Chicago Press.</w:t>
      </w:r>
    </w:p>
    <w:p w:rsidR="006341BD" w:rsidRPr="005A5705" w:rsidRDefault="006341BD" w:rsidP="006341BD">
      <w:pPr>
        <w:numPr>
          <w:ilvl w:val="0"/>
          <w:numId w:val="1"/>
        </w:numPr>
        <w:spacing w:after="0" w:line="276" w:lineRule="auto"/>
      </w:pPr>
      <w:r w:rsidRPr="005A5705">
        <w:t xml:space="preserve">Puchner, M. 2005. </w:t>
      </w:r>
      <w:r w:rsidRPr="005A5705">
        <w:rPr>
          <w:i/>
        </w:rPr>
        <w:t>Poetry of the Revolution: Marx, Manifestos, and the Avant-Gardes.</w:t>
      </w:r>
      <w:r w:rsidRPr="005A5705">
        <w:t xml:space="preserve"> Princeton and Oxford: Princeton University Press.</w:t>
      </w:r>
    </w:p>
    <w:p w:rsidR="006341BD" w:rsidRPr="005A5705" w:rsidRDefault="006341BD" w:rsidP="006341BD">
      <w:pPr>
        <w:numPr>
          <w:ilvl w:val="0"/>
          <w:numId w:val="1"/>
        </w:numPr>
        <w:spacing w:after="0" w:line="276" w:lineRule="auto"/>
      </w:pPr>
      <w:r w:rsidRPr="005A5705">
        <w:t xml:space="preserve">Purešević, D. 1996. (Bez naslova). </w:t>
      </w:r>
      <w:r>
        <w:t>У</w:t>
      </w:r>
      <w:r w:rsidRPr="005A5705">
        <w:t xml:space="preserve"> Radosavljević, D. (</w:t>
      </w:r>
      <w:r>
        <w:t>ур</w:t>
      </w:r>
      <w:r w:rsidRPr="005A5705">
        <w:t xml:space="preserve">.) 1996. </w:t>
      </w:r>
      <w:r w:rsidRPr="005A5705">
        <w:rPr>
          <w:i/>
        </w:rPr>
        <w:t>Pogled na zid 1994–1996. Umetnici i kritičari.</w:t>
      </w:r>
      <w:r w:rsidRPr="005A5705">
        <w:t xml:space="preserve"> Beograd, Radio B92.</w:t>
      </w:r>
    </w:p>
    <w:p w:rsidR="006341BD" w:rsidRPr="005A5705" w:rsidRDefault="006341BD" w:rsidP="006341BD">
      <w:pPr>
        <w:numPr>
          <w:ilvl w:val="0"/>
          <w:numId w:val="1"/>
        </w:numPr>
        <w:spacing w:after="0" w:line="276" w:lineRule="auto"/>
      </w:pPr>
      <w:r w:rsidRPr="005A5705">
        <w:t>Sretenović, D. 1994. Nenaslovljen tekst. Zlatno oko br. 1, Novi Sad</w:t>
      </w:r>
      <w:r>
        <w:t xml:space="preserve"> </w:t>
      </w:r>
      <w:r w:rsidRPr="005A5705">
        <w:t>–</w:t>
      </w:r>
      <w:r>
        <w:t xml:space="preserve"> </w:t>
      </w:r>
      <w:r w:rsidRPr="005A5705">
        <w:t>Vršac, septembar 1994, str. 67</w:t>
      </w:r>
    </w:p>
    <w:p w:rsidR="006341BD" w:rsidRPr="005A5705" w:rsidRDefault="006341BD" w:rsidP="006341BD">
      <w:pPr>
        <w:numPr>
          <w:ilvl w:val="0"/>
          <w:numId w:val="1"/>
        </w:numPr>
        <w:spacing w:after="0" w:line="276" w:lineRule="auto"/>
      </w:pPr>
      <w:r w:rsidRPr="005A5705">
        <w:t xml:space="preserve">Sretenović , D. 1996. „Umetnost u zatvorenom društvu”. </w:t>
      </w:r>
      <w:r>
        <w:t>У</w:t>
      </w:r>
      <w:r w:rsidRPr="005A5705">
        <w:t>: Sretenović, D. (</w:t>
      </w:r>
      <w:r>
        <w:t>ур</w:t>
      </w:r>
      <w:r w:rsidRPr="005A5705">
        <w:t xml:space="preserve">.) Art in Yugoslavia 1992–1995, Radio B92, Beograd 1996, </w:t>
      </w:r>
      <w:r w:rsidRPr="00F72872">
        <w:t>без пагинације</w:t>
      </w:r>
      <w:r w:rsidRPr="005A5705">
        <w:t>.</w:t>
      </w:r>
    </w:p>
    <w:p w:rsidR="006341BD" w:rsidRPr="005A5705" w:rsidRDefault="006341BD" w:rsidP="006341BD">
      <w:pPr>
        <w:numPr>
          <w:ilvl w:val="0"/>
          <w:numId w:val="1"/>
        </w:numPr>
        <w:spacing w:after="0" w:line="276" w:lineRule="auto"/>
        <w:jc w:val="both"/>
      </w:pPr>
      <w:r w:rsidRPr="005A5705">
        <w:t xml:space="preserve">Stepanov, S. 1996. „Bijenale mladih”. </w:t>
      </w:r>
      <w:r>
        <w:t>У</w:t>
      </w:r>
      <w:r w:rsidRPr="005A5705">
        <w:t xml:space="preserve"> Sretenovć, D. (</w:t>
      </w:r>
      <w:r>
        <w:t>ур</w:t>
      </w:r>
      <w:r w:rsidRPr="005A5705">
        <w:t>.) 1996. II Jugoslovenski likovni bijenale mladih, katalog izložbe. Vršac: Umetnička radionica „Aurora”, i Narodni muzej, Vršac, 6–9.</w:t>
      </w:r>
    </w:p>
    <w:p w:rsidR="006341BD" w:rsidRPr="005A5705" w:rsidRDefault="006341BD" w:rsidP="006341BD">
      <w:pPr>
        <w:numPr>
          <w:ilvl w:val="0"/>
          <w:numId w:val="1"/>
        </w:numPr>
        <w:spacing w:after="0" w:line="276" w:lineRule="auto"/>
      </w:pPr>
      <w:r w:rsidRPr="005A5705">
        <w:t>Tolić, J. 1996. „Intro-e</w:t>
      </w:r>
      <w:r>
        <w:rPr>
          <w:lang w:val="sr-Latn-RS"/>
        </w:rPr>
        <w:t>ks</w:t>
      </w:r>
      <w:r w:rsidRPr="005A5705">
        <w:t xml:space="preserve">troverzija umetnosti”. </w:t>
      </w:r>
      <w:r>
        <w:t>У</w:t>
      </w:r>
      <w:r w:rsidRPr="005A5705">
        <w:t xml:space="preserve"> Sretenović, D. (</w:t>
      </w:r>
      <w:r>
        <w:t>ур</w:t>
      </w:r>
      <w:r w:rsidRPr="005A5705">
        <w:t>.) 1996. II Jugoslovenski likovni bijenale mladih, katalog izložbe. Vršac: Umetnička radionica „Aurora” i Narodni muzej, Vršac, 10–15.</w:t>
      </w:r>
    </w:p>
    <w:p w:rsidR="006341BD" w:rsidRPr="005A5705" w:rsidRDefault="006341BD" w:rsidP="006341BD">
      <w:pPr>
        <w:numPr>
          <w:ilvl w:val="0"/>
          <w:numId w:val="1"/>
        </w:numPr>
        <w:spacing w:after="0" w:line="276" w:lineRule="auto"/>
      </w:pPr>
      <w:r w:rsidRPr="005A5705">
        <w:t xml:space="preserve">Vuković, S. 1996. „Dominacija forme”. </w:t>
      </w:r>
      <w:r>
        <w:t>У</w:t>
      </w:r>
      <w:r w:rsidRPr="005A5705">
        <w:t xml:space="preserve"> Sretenović, D. (</w:t>
      </w:r>
      <w:r>
        <w:t>ур</w:t>
      </w:r>
      <w:r w:rsidRPr="005A5705">
        <w:t>.) 1996. II Jugoslovenski likovni bijenale mladih, katalog izložbe. Vršac: Umetnička radionica „Aurora” i Narodni muzej, Vršac, 16–22.</w:t>
      </w:r>
    </w:p>
    <w:p w:rsidR="006341BD" w:rsidRPr="005A5705" w:rsidRDefault="006341BD" w:rsidP="006341BD">
      <w:pPr>
        <w:numPr>
          <w:ilvl w:val="0"/>
          <w:numId w:val="1"/>
        </w:numPr>
        <w:spacing w:after="0" w:line="276" w:lineRule="auto"/>
      </w:pPr>
      <w:r w:rsidRPr="005A5705">
        <w:t>Vuković, S. 1998. „Lični umetnički eksperiment”</w:t>
      </w:r>
      <w:r>
        <w:t>.</w:t>
      </w:r>
      <w:r w:rsidRPr="005A5705">
        <w:t xml:space="preserve"> </w:t>
      </w:r>
      <w:r>
        <w:t>У</w:t>
      </w:r>
      <w:r w:rsidRPr="005A5705">
        <w:t>: Đurić, U. 1998. Radovi/Works: 1989–1997, autorsko izdanje, Beograd 1998, str. 4–29.</w:t>
      </w:r>
    </w:p>
    <w:p w:rsidR="006341BD" w:rsidRPr="005A5705" w:rsidRDefault="006341BD" w:rsidP="006341BD">
      <w:pPr>
        <w:numPr>
          <w:ilvl w:val="0"/>
          <w:numId w:val="1"/>
        </w:numPr>
        <w:spacing w:after="0" w:line="276" w:lineRule="auto"/>
      </w:pPr>
      <w:r w:rsidRPr="005A5705">
        <w:t>Whitlock, G. 2006. ”Autographics: The Seeing ’I’ of the Comics”, MFS Modern Fiction Studies, Johns Hopkins University Press, Volume 52 number 4, Winter 2006, 965–979.</w:t>
      </w:r>
    </w:p>
    <w:p w:rsidR="006341BD" w:rsidRPr="005A5705" w:rsidRDefault="006341BD" w:rsidP="006341BD">
      <w:pPr>
        <w:numPr>
          <w:ilvl w:val="0"/>
          <w:numId w:val="1"/>
        </w:numPr>
        <w:spacing w:after="0" w:line="276" w:lineRule="auto"/>
        <w:jc w:val="both"/>
      </w:pPr>
      <w:r w:rsidRPr="005A5705">
        <w:t>Vervaet, S. 2011. ”A Different Kind of War Story: Aleksanar Zograf's Regards from Serbia and Tomaž Lavrič's Bosnian Fables”. Slavic and East European Journal, Volume 55, No. 2, summer 2011, 161–187.</w:t>
      </w:r>
      <w:r>
        <w:rPr>
          <w:lang w:val="sr-Latn-RS"/>
        </w:rPr>
        <w:t xml:space="preserve"> </w:t>
      </w:r>
    </w:p>
    <w:p w:rsidR="00A01BFE" w:rsidRDefault="00A01BFE"/>
    <w:sectPr w:rsidR="00A01BFE" w:rsidSect="00C54EA2">
      <w:pgSz w:w="11907" w:h="16839"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AD0BB8"/>
    <w:multiLevelType w:val="multilevel"/>
    <w:tmpl w:val="6B54F1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1BD"/>
    <w:rsid w:val="000E6AAB"/>
    <w:rsid w:val="006341BD"/>
    <w:rsid w:val="006B21B2"/>
    <w:rsid w:val="00A01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5EA734-CBF5-4818-BADF-88FEE3BB2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41BD"/>
    <w:rPr>
      <w:lang w:val="sr-Cyrl-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341BD"/>
    <w:rPr>
      <w:sz w:val="16"/>
      <w:szCs w:val="16"/>
    </w:rPr>
  </w:style>
  <w:style w:type="paragraph" w:styleId="CommentText">
    <w:name w:val="annotation text"/>
    <w:basedOn w:val="Normal"/>
    <w:link w:val="CommentTextChar"/>
    <w:uiPriority w:val="99"/>
    <w:unhideWhenUsed/>
    <w:rsid w:val="006341BD"/>
    <w:pPr>
      <w:spacing w:line="240" w:lineRule="auto"/>
    </w:pPr>
    <w:rPr>
      <w:sz w:val="20"/>
      <w:szCs w:val="20"/>
    </w:rPr>
  </w:style>
  <w:style w:type="character" w:customStyle="1" w:styleId="CommentTextChar">
    <w:name w:val="Comment Text Char"/>
    <w:basedOn w:val="DefaultParagraphFont"/>
    <w:link w:val="CommentText"/>
    <w:uiPriority w:val="99"/>
    <w:rsid w:val="006341BD"/>
    <w:rPr>
      <w:sz w:val="20"/>
      <w:szCs w:val="20"/>
      <w:lang w:val="sr-Cyrl-RS"/>
    </w:rPr>
  </w:style>
  <w:style w:type="paragraph" w:styleId="BalloonText">
    <w:name w:val="Balloon Text"/>
    <w:basedOn w:val="Normal"/>
    <w:link w:val="BalloonTextChar"/>
    <w:uiPriority w:val="99"/>
    <w:semiHidden/>
    <w:unhideWhenUsed/>
    <w:rsid w:val="006341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41BD"/>
    <w:rPr>
      <w:rFonts w:ascii="Segoe UI" w:hAnsi="Segoe UI" w:cs="Segoe UI"/>
      <w:sz w:val="18"/>
      <w:szCs w:val="18"/>
      <w:lang w:val="sr-Cyrl-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2529</Words>
  <Characters>14416</Characters>
  <Application>Microsoft Office Word</Application>
  <DocSecurity>0</DocSecurity>
  <Lines>120</Lines>
  <Paragraphs>33</Paragraphs>
  <ScaleCrop>false</ScaleCrop>
  <Company/>
  <LinksUpToDate>false</LinksUpToDate>
  <CharactersWithSpaces>16912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FLU</dc:creator>
  <cp:keywords/>
  <dc:description/>
  <cp:lastModifiedBy>FLU</cp:lastModifiedBy>
  <cp:revision>2</cp:revision>
  <dcterms:created xsi:type="dcterms:W3CDTF">2024-03-14T12:12:00Z</dcterms:created>
  <dcterms:modified xsi:type="dcterms:W3CDTF">2024-03-14T12:13:00Z</dcterms:modified>
</cp:coreProperties>
</file>